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2EE3" w14:textId="77777777" w:rsidR="00CB01DD" w:rsidRPr="00BF52B1" w:rsidRDefault="00CB01DD">
      <w:pPr>
        <w:spacing w:after="357" w:line="306" w:lineRule="auto"/>
        <w:ind w:left="-5" w:right="0" w:hanging="10"/>
        <w:jc w:val="left"/>
      </w:pPr>
      <w:bookmarkStart w:id="0" w:name="_gjdgxs" w:colFirst="0" w:colLast="0"/>
      <w:bookmarkEnd w:id="0"/>
    </w:p>
    <w:p w14:paraId="0E7E8E9D" w14:textId="77777777" w:rsidR="00CB01DD" w:rsidRPr="00F557BD" w:rsidRDefault="00EE70B8">
      <w:pPr>
        <w:spacing w:after="519" w:line="265" w:lineRule="auto"/>
        <w:ind w:left="398" w:right="388" w:hanging="10"/>
        <w:jc w:val="center"/>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Plagiarism</w:t>
      </w:r>
    </w:p>
    <w:p w14:paraId="2831CFD7" w14:textId="4DF8C9F1" w:rsidR="00CB01DD" w:rsidRPr="00F557BD" w:rsidRDefault="00EE70B8">
      <w:pPr>
        <w:spacing w:after="276"/>
        <w:ind w:left="7"/>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 xml:space="preserve">According to the Washington State Legislature [WAC 504-26-010], </w:t>
      </w:r>
      <w:r w:rsidR="00BA0E45">
        <w:rPr>
          <w:rFonts w:ascii="Times New Roman" w:eastAsia="Times New Roman" w:hAnsi="Times New Roman" w:cs="Times New Roman"/>
          <w:sz w:val="24"/>
          <w:szCs w:val="24"/>
        </w:rPr>
        <w:t>the definition of plagiarism is</w:t>
      </w:r>
      <w:bookmarkStart w:id="1" w:name="_GoBack"/>
      <w:bookmarkEnd w:id="1"/>
      <w:r w:rsidR="002B7669">
        <w:rPr>
          <w:rFonts w:ascii="Times New Roman" w:eastAsia="Times New Roman" w:hAnsi="Times New Roman" w:cs="Times New Roman"/>
          <w:sz w:val="24"/>
          <w:szCs w:val="24"/>
        </w:rPr>
        <w:t xml:space="preserve"> </w:t>
      </w:r>
      <w:r w:rsidRPr="00F557BD">
        <w:rPr>
          <w:rFonts w:ascii="Times New Roman" w:eastAsia="Times New Roman" w:hAnsi="Times New Roman" w:cs="Times New Roman"/>
          <w:sz w:val="24"/>
          <w:szCs w:val="24"/>
        </w:rPr>
        <w:t xml:space="preserve">"Plagiarism. Presenting the information, ideas, or phrasing of another person as the student's own work without proper acknowledgment of the source. This includes submitting a commercially prepared paper or research </w:t>
      </w:r>
      <w:r w:rsidRPr="00F557BD">
        <w:rPr>
          <w:rFonts w:ascii="Times New Roman" w:eastAsia="Times New Roman" w:hAnsi="Times New Roman" w:cs="Times New Roman"/>
          <w:noProof/>
          <w:sz w:val="24"/>
          <w:szCs w:val="24"/>
        </w:rPr>
        <w:drawing>
          <wp:inline distT="0" distB="0" distL="0" distR="0" wp14:anchorId="3F87DDBA" wp14:editId="5A520EB2">
            <wp:extent cx="9123" cy="456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123" cy="4562"/>
                    </a:xfrm>
                    <a:prstGeom prst="rect">
                      <a:avLst/>
                    </a:prstGeom>
                    <a:ln/>
                  </pic:spPr>
                </pic:pic>
              </a:graphicData>
            </a:graphic>
          </wp:inline>
        </w:drawing>
      </w:r>
      <w:r w:rsidRPr="00F557BD">
        <w:rPr>
          <w:rFonts w:ascii="Times New Roman" w:eastAsia="Times New Roman" w:hAnsi="Times New Roman" w:cs="Times New Roman"/>
          <w:sz w:val="24"/>
          <w:szCs w:val="24"/>
        </w:rPr>
        <w:t>project or submitting for academic credit any work done by someone else. The term 'plagiarism' includes, but is not limited to, the use, by paraphrase or direct quotation, of the published work of another person without full and clear acknowledgment. It also includes the unacknowledged use of materials prepared by another person or agency engaged in the selling of term papers or other academic materials" [3.i].</w:t>
      </w:r>
    </w:p>
    <w:p w14:paraId="19FF246E" w14:textId="0EF4C6DA" w:rsidR="00CB01DD" w:rsidRPr="00F557BD" w:rsidRDefault="00EE70B8">
      <w:pPr>
        <w:spacing w:after="216"/>
        <w:ind w:left="7" w:right="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Be aware that plagiarism includes the "unauthorized multiple submission of the same work" without an instruct</w:t>
      </w:r>
      <w:r w:rsidR="00863986" w:rsidRPr="00F557BD">
        <w:rPr>
          <w:rFonts w:ascii="Times New Roman" w:eastAsia="Times New Roman" w:hAnsi="Times New Roman" w:cs="Times New Roman"/>
          <w:sz w:val="24"/>
          <w:szCs w:val="24"/>
        </w:rPr>
        <w:t>or’s</w:t>
      </w:r>
      <w:r w:rsidRPr="00F557BD">
        <w:rPr>
          <w:rFonts w:ascii="Times New Roman" w:eastAsia="Times New Roman" w:hAnsi="Times New Roman" w:cs="Times New Roman"/>
          <w:sz w:val="24"/>
          <w:szCs w:val="24"/>
        </w:rPr>
        <w:t xml:space="preserve"> stated permission [3.j].</w:t>
      </w:r>
    </w:p>
    <w:p w14:paraId="6C2541B6" w14:textId="107D12FF" w:rsidR="00CB01DD" w:rsidRPr="00F557BD" w:rsidRDefault="00EE70B8">
      <w:pPr>
        <w:spacing w:after="0" w:line="300" w:lineRule="auto"/>
        <w:ind w:left="7" w:right="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In plain English and in academia, plagiarism is the unacknowledged use of another's words or ideas whether intentionally or unintentionally.</w:t>
      </w:r>
    </w:p>
    <w:p w14:paraId="05DB0406" w14:textId="384CB382" w:rsidR="003272D8" w:rsidRPr="00F557BD" w:rsidRDefault="003272D8" w:rsidP="003272D8">
      <w:pPr>
        <w:spacing w:after="0" w:line="300" w:lineRule="auto"/>
        <w:ind w:right="0" w:firstLine="0"/>
        <w:rPr>
          <w:rFonts w:ascii="Times New Roman" w:eastAsia="Times New Roman" w:hAnsi="Times New Roman" w:cs="Times New Roman"/>
          <w:sz w:val="24"/>
          <w:szCs w:val="24"/>
        </w:rPr>
      </w:pPr>
    </w:p>
    <w:p w14:paraId="6C56D455" w14:textId="77777777" w:rsidR="00CB01DD" w:rsidRPr="00F557BD" w:rsidRDefault="00CB01DD">
      <w:pPr>
        <w:spacing w:after="0" w:line="300" w:lineRule="auto"/>
        <w:ind w:left="7" w:right="0"/>
        <w:rPr>
          <w:rFonts w:ascii="Times New Roman" w:eastAsia="Times New Roman" w:hAnsi="Times New Roman" w:cs="Times New Roman"/>
          <w:sz w:val="24"/>
          <w:szCs w:val="24"/>
        </w:rPr>
      </w:pPr>
    </w:p>
    <w:p w14:paraId="5A1CAC66" w14:textId="77777777" w:rsidR="00CB01DD" w:rsidRPr="00F557BD" w:rsidRDefault="00EE70B8">
      <w:pPr>
        <w:spacing w:after="199" w:line="300" w:lineRule="auto"/>
        <w:ind w:right="0" w:firstLine="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Academic writing often requires researching and using sources, so avoiding plagiarism becomes paramount.</w:t>
      </w:r>
    </w:p>
    <w:p w14:paraId="190EB813" w14:textId="77777777" w:rsidR="00CB01DD" w:rsidRPr="00F557BD" w:rsidRDefault="00EE70B8" w:rsidP="003272D8">
      <w:pPr>
        <w:pStyle w:val="ListParagraph"/>
        <w:numPr>
          <w:ilvl w:val="0"/>
          <w:numId w:val="4"/>
        </w:numPr>
        <w:spacing w:after="0" w:line="259" w:lineRule="auto"/>
        <w:ind w:right="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 xml:space="preserve">Summarizing: A summary condenses information from a source using your own words. </w:t>
      </w:r>
    </w:p>
    <w:p w14:paraId="18264278" w14:textId="5802E37D" w:rsidR="000B5EF2" w:rsidRPr="00F557BD" w:rsidRDefault="00EE70B8" w:rsidP="003272D8">
      <w:pPr>
        <w:spacing w:after="0" w:line="259" w:lineRule="auto"/>
        <w:ind w:left="720" w:right="0" w:firstLine="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If you use exact words in your summary, be sure to put these exact words inside quotation marks and cite them within text and on your bibliographic page.</w:t>
      </w:r>
    </w:p>
    <w:p w14:paraId="01DE1D7D" w14:textId="77777777" w:rsidR="003272D8" w:rsidRPr="00F557BD" w:rsidRDefault="003272D8" w:rsidP="003272D8">
      <w:pPr>
        <w:spacing w:after="0" w:line="259" w:lineRule="auto"/>
        <w:ind w:right="0" w:firstLine="0"/>
        <w:jc w:val="left"/>
        <w:rPr>
          <w:rFonts w:ascii="Times New Roman" w:eastAsia="Times New Roman" w:hAnsi="Times New Roman" w:cs="Times New Roman"/>
          <w:sz w:val="24"/>
          <w:szCs w:val="24"/>
        </w:rPr>
      </w:pPr>
    </w:p>
    <w:p w14:paraId="008F2BE3" w14:textId="530D2359" w:rsidR="00EE70B8" w:rsidRPr="00F557BD" w:rsidRDefault="00EE70B8" w:rsidP="00EE70B8">
      <w:pPr>
        <w:pStyle w:val="ListParagraph"/>
        <w:numPr>
          <w:ilvl w:val="0"/>
          <w:numId w:val="4"/>
        </w:numPr>
        <w:spacing w:after="286"/>
        <w:ind w:right="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Paraphrasing: A paraphrase retells the information using your own words but often including words from the original text. Again, be sure to put these exact words inside quotation marks and cite them within text and on your bibliographic page.</w:t>
      </w:r>
      <w:r w:rsidR="00016C38" w:rsidRPr="00F557BD">
        <w:rPr>
          <w:rFonts w:ascii="Times New Roman" w:eastAsia="Times New Roman" w:hAnsi="Times New Roman" w:cs="Times New Roman"/>
          <w:sz w:val="24"/>
          <w:szCs w:val="24"/>
        </w:rPr>
        <w:t xml:space="preserve">             </w:t>
      </w:r>
    </w:p>
    <w:p w14:paraId="79F4A63F" w14:textId="5D7A5518" w:rsidR="00704008" w:rsidRPr="00F557BD" w:rsidRDefault="00EE70B8" w:rsidP="003272D8">
      <w:pPr>
        <w:spacing w:after="240" w:line="306" w:lineRule="auto"/>
        <w:ind w:right="0" w:firstLine="0"/>
        <w:rPr>
          <w:rFonts w:ascii="Times New Roman" w:eastAsia="Times New Roman" w:hAnsi="Times New Roman" w:cs="Times New Roman"/>
          <w:sz w:val="24"/>
          <w:szCs w:val="24"/>
        </w:rPr>
      </w:pPr>
      <w:r w:rsidRPr="00F557BD">
        <w:rPr>
          <w:rFonts w:ascii="Times New Roman" w:eastAsia="Times New Roman" w:hAnsi="Times New Roman" w:cs="Times New Roman"/>
          <w:b/>
          <w:bCs/>
          <w:sz w:val="24"/>
          <w:szCs w:val="24"/>
        </w:rPr>
        <w:t>Note:</w:t>
      </w:r>
      <w:r w:rsidRPr="00F557BD">
        <w:rPr>
          <w:rFonts w:ascii="Times New Roman" w:eastAsia="Times New Roman" w:hAnsi="Times New Roman" w:cs="Times New Roman"/>
          <w:sz w:val="24"/>
          <w:szCs w:val="24"/>
        </w:rPr>
        <w:t xml:space="preserve"> Do not fall victim to the thesaurus where you just insert a similar word for the exact word but are retaining the original intent and sentence structure of your source information.</w:t>
      </w:r>
    </w:p>
    <w:p w14:paraId="77730B92" w14:textId="4A667127" w:rsidR="00CB01DD" w:rsidRPr="00F557BD" w:rsidRDefault="00EE70B8" w:rsidP="003272D8">
      <w:pPr>
        <w:pStyle w:val="ListParagraph"/>
        <w:numPr>
          <w:ilvl w:val="0"/>
          <w:numId w:val="3"/>
        </w:numPr>
        <w:spacing w:after="0" w:line="259" w:lineRule="auto"/>
        <w:ind w:right="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Quoting: A quotation uses the exact words, data, definitions, and intent of the original source and needs to be placed within quotation marks as well as citing the source within text and on a bibliographic page.</w:t>
      </w:r>
    </w:p>
    <w:p w14:paraId="570FB0EB" w14:textId="100319B7" w:rsidR="00863986" w:rsidRPr="00BF52B1" w:rsidRDefault="00863986" w:rsidP="00863986">
      <w:pPr>
        <w:spacing w:after="0" w:line="259" w:lineRule="auto"/>
        <w:ind w:right="0"/>
        <w:jc w:val="left"/>
        <w:rPr>
          <w:rFonts w:ascii="Times New Roman" w:eastAsia="Times New Roman" w:hAnsi="Times New Roman" w:cs="Times New Roman"/>
        </w:rPr>
      </w:pPr>
    </w:p>
    <w:p w14:paraId="5A486E68" w14:textId="307341C3" w:rsidR="00863986" w:rsidRDefault="00863986" w:rsidP="003272D8">
      <w:pPr>
        <w:spacing w:after="0" w:line="259" w:lineRule="auto"/>
        <w:ind w:right="0" w:firstLine="0"/>
        <w:jc w:val="left"/>
        <w:rPr>
          <w:rFonts w:ascii="Times New Roman" w:eastAsia="Times New Roman" w:hAnsi="Times New Roman" w:cs="Times New Roman"/>
        </w:rPr>
      </w:pPr>
    </w:p>
    <w:p w14:paraId="50AE9D9F" w14:textId="55E1B70D" w:rsidR="00BF52B1" w:rsidRDefault="00BF52B1" w:rsidP="003272D8">
      <w:pPr>
        <w:spacing w:after="0" w:line="259" w:lineRule="auto"/>
        <w:ind w:right="0" w:firstLine="0"/>
        <w:jc w:val="left"/>
        <w:rPr>
          <w:rFonts w:ascii="Times New Roman" w:eastAsia="Times New Roman" w:hAnsi="Times New Roman" w:cs="Times New Roman"/>
        </w:rPr>
      </w:pPr>
    </w:p>
    <w:p w14:paraId="0A7CAB04" w14:textId="6BB97E36" w:rsidR="00BF52B1" w:rsidRDefault="00BF52B1" w:rsidP="003272D8">
      <w:pPr>
        <w:spacing w:after="0" w:line="259" w:lineRule="auto"/>
        <w:ind w:right="0" w:firstLine="0"/>
        <w:jc w:val="left"/>
        <w:rPr>
          <w:rFonts w:ascii="Times New Roman" w:eastAsia="Times New Roman" w:hAnsi="Times New Roman" w:cs="Times New Roman"/>
        </w:rPr>
      </w:pPr>
    </w:p>
    <w:p w14:paraId="462BBB94" w14:textId="77777777" w:rsidR="00BF52B1" w:rsidRPr="00BF52B1" w:rsidRDefault="00BF52B1" w:rsidP="003272D8">
      <w:pPr>
        <w:spacing w:after="0" w:line="259" w:lineRule="auto"/>
        <w:ind w:right="0" w:firstLine="0"/>
        <w:jc w:val="left"/>
        <w:rPr>
          <w:rFonts w:ascii="Times New Roman" w:eastAsia="Times New Roman" w:hAnsi="Times New Roman" w:cs="Times New Roman"/>
        </w:rPr>
      </w:pPr>
    </w:p>
    <w:p w14:paraId="138FD0A9" w14:textId="77777777" w:rsidR="00CB01DD" w:rsidRPr="00BF52B1" w:rsidRDefault="00EE70B8">
      <w:pPr>
        <w:spacing w:after="8" w:line="259" w:lineRule="auto"/>
        <w:ind w:left="9137" w:right="0" w:firstLine="0"/>
        <w:jc w:val="left"/>
        <w:rPr>
          <w:rFonts w:ascii="Times New Roman" w:eastAsia="Times New Roman" w:hAnsi="Times New Roman" w:cs="Times New Roman"/>
        </w:rPr>
      </w:pPr>
      <w:r w:rsidRPr="00BF52B1">
        <w:rPr>
          <w:rFonts w:ascii="Times New Roman" w:eastAsia="Times New Roman" w:hAnsi="Times New Roman" w:cs="Times New Roman"/>
          <w:noProof/>
        </w:rPr>
        <w:drawing>
          <wp:inline distT="0" distB="0" distL="0" distR="0" wp14:anchorId="62EE28DE" wp14:editId="65A2ADFA">
            <wp:extent cx="4562" cy="912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562" cy="9123"/>
                    </a:xfrm>
                    <a:prstGeom prst="rect">
                      <a:avLst/>
                    </a:prstGeom>
                    <a:ln/>
                  </pic:spPr>
                </pic:pic>
              </a:graphicData>
            </a:graphic>
          </wp:inline>
        </w:drawing>
      </w:r>
    </w:p>
    <w:p w14:paraId="0F44972C" w14:textId="77777777" w:rsidR="00CB01DD" w:rsidRPr="00BF52B1" w:rsidRDefault="00EE70B8" w:rsidP="003272D8">
      <w:pPr>
        <w:spacing w:after="60"/>
        <w:ind w:right="0"/>
        <w:jc w:val="left"/>
        <w:rPr>
          <w:rFonts w:ascii="Times New Roman" w:eastAsia="Times New Roman" w:hAnsi="Times New Roman" w:cs="Times New Roman"/>
        </w:rPr>
      </w:pPr>
      <w:r w:rsidRPr="00BF52B1">
        <w:rPr>
          <w:rFonts w:ascii="Times New Roman" w:eastAsia="Times New Roman" w:hAnsi="Times New Roman" w:cs="Times New Roman"/>
        </w:rPr>
        <w:t xml:space="preserve">Hacker, Diana, and Nancy Sommers. The Bedford Handbook. 8 Edition. Boston: Bedford/St. </w:t>
      </w:r>
    </w:p>
    <w:p w14:paraId="16AEE27C" w14:textId="77777777" w:rsidR="003272D8" w:rsidRPr="00BF52B1" w:rsidRDefault="00EE70B8">
      <w:pPr>
        <w:spacing w:after="60"/>
        <w:ind w:left="799" w:right="0" w:hanging="75"/>
        <w:jc w:val="left"/>
        <w:rPr>
          <w:rFonts w:ascii="Times New Roman" w:eastAsia="Times New Roman" w:hAnsi="Times New Roman" w:cs="Times New Roman"/>
        </w:rPr>
      </w:pPr>
      <w:r w:rsidRPr="00BF52B1">
        <w:rPr>
          <w:rFonts w:ascii="Times New Roman" w:eastAsia="Times New Roman" w:hAnsi="Times New Roman" w:cs="Times New Roman"/>
        </w:rPr>
        <w:t>Martins, 2010.</w:t>
      </w:r>
    </w:p>
    <w:p w14:paraId="1A8C4C87" w14:textId="5B740B74" w:rsidR="00CB01DD" w:rsidRPr="00BF52B1" w:rsidRDefault="00EE70B8" w:rsidP="003272D8">
      <w:pPr>
        <w:spacing w:after="60"/>
        <w:ind w:right="0" w:firstLine="0"/>
        <w:jc w:val="left"/>
        <w:rPr>
          <w:rFonts w:ascii="Times New Roman" w:eastAsia="Times New Roman" w:hAnsi="Times New Roman" w:cs="Times New Roman"/>
        </w:rPr>
      </w:pPr>
      <w:r w:rsidRPr="00BF52B1">
        <w:rPr>
          <w:rFonts w:ascii="Times New Roman" w:eastAsia="Times New Roman" w:hAnsi="Times New Roman" w:cs="Times New Roman"/>
        </w:rPr>
        <w:t>Washington State Legislature. WAC 504-26-010.</w:t>
      </w:r>
      <w:r w:rsidR="003272D8" w:rsidRPr="00BF52B1">
        <w:rPr>
          <w:rFonts w:ascii="Times New Roman" w:eastAsia="Times New Roman" w:hAnsi="Times New Roman" w:cs="Times New Roman"/>
        </w:rPr>
        <w:t xml:space="preserve">  http://app.leg.wa.gov/wac/default.aspx?</w:t>
      </w:r>
      <w:r w:rsidR="00BF52B1" w:rsidRPr="00BF52B1">
        <w:rPr>
          <w:rFonts w:ascii="Times New Roman" w:eastAsia="Times New Roman" w:hAnsi="Times New Roman" w:cs="Times New Roman"/>
        </w:rPr>
        <w:t>cite=505-</w:t>
      </w:r>
      <w:r w:rsidR="00BF52B1" w:rsidRPr="00BF52B1">
        <w:rPr>
          <w:rFonts w:ascii="Times New Roman" w:eastAsia="Times New Roman" w:hAnsi="Times New Roman" w:cs="Times New Roman"/>
        </w:rPr>
        <w:tab/>
        <w:t xml:space="preserve"> 26010. </w:t>
      </w:r>
      <w:r w:rsidRPr="00BF52B1">
        <w:rPr>
          <w:rFonts w:ascii="Times New Roman" w:eastAsia="Times New Roman" w:hAnsi="Times New Roman" w:cs="Times New Roman"/>
        </w:rPr>
        <w:t>Accessed 8/30/16.</w:t>
      </w:r>
    </w:p>
    <w:p w14:paraId="2AD27115" w14:textId="77777777" w:rsidR="00CB01DD" w:rsidRPr="00BF52B1" w:rsidRDefault="00CB01DD">
      <w:pPr>
        <w:spacing w:after="211" w:line="265" w:lineRule="auto"/>
        <w:ind w:left="398" w:right="0" w:hanging="10"/>
        <w:jc w:val="center"/>
        <w:rPr>
          <w:rFonts w:ascii="Times New Roman" w:eastAsia="Times New Roman" w:hAnsi="Times New Roman" w:cs="Times New Roman"/>
        </w:rPr>
      </w:pPr>
    </w:p>
    <w:p w14:paraId="6FD82377" w14:textId="77777777" w:rsidR="00863986" w:rsidRPr="00F557BD" w:rsidRDefault="00863986">
      <w:pPr>
        <w:spacing w:after="211" w:line="265" w:lineRule="auto"/>
        <w:ind w:left="398" w:right="0" w:hanging="10"/>
        <w:jc w:val="center"/>
        <w:rPr>
          <w:rFonts w:ascii="Times New Roman" w:eastAsia="Times New Roman" w:hAnsi="Times New Roman" w:cs="Times New Roman"/>
          <w:sz w:val="24"/>
          <w:szCs w:val="24"/>
        </w:rPr>
      </w:pPr>
    </w:p>
    <w:p w14:paraId="6648F4CA" w14:textId="7537918F" w:rsidR="00CB01DD" w:rsidRPr="00F557BD" w:rsidRDefault="00EE70B8">
      <w:pPr>
        <w:spacing w:after="211" w:line="265" w:lineRule="auto"/>
        <w:ind w:left="398" w:right="0" w:hanging="10"/>
        <w:jc w:val="center"/>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Avoiding Plagiarism</w:t>
      </w:r>
    </w:p>
    <w:p w14:paraId="17E3D223" w14:textId="77777777" w:rsidR="00CB01DD" w:rsidRPr="00F557BD" w:rsidRDefault="00EE70B8">
      <w:pPr>
        <w:ind w:left="158" w:right="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Be aware of the correct documentation style used for your paper [MLA, APA, Chicago, or IEEE]. Pick up the appropriate handout from the Writing Center to have for handy reference!</w:t>
      </w:r>
    </w:p>
    <w:p w14:paraId="1A0139A5" w14:textId="77777777" w:rsidR="00CB01DD" w:rsidRPr="00F557BD" w:rsidRDefault="00EE70B8">
      <w:pPr>
        <w:spacing w:after="0" w:line="259" w:lineRule="auto"/>
        <w:ind w:left="165" w:right="0" w:firstLine="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u w:val="single"/>
        </w:rPr>
        <w:t>Original source</w:t>
      </w:r>
      <w:r w:rsidRPr="00F557BD">
        <w:rPr>
          <w:rFonts w:ascii="Times New Roman" w:eastAsia="Times New Roman" w:hAnsi="Times New Roman" w:cs="Times New Roman"/>
          <w:sz w:val="24"/>
          <w:szCs w:val="24"/>
        </w:rPr>
        <w:t>:</w:t>
      </w:r>
    </w:p>
    <w:p w14:paraId="3C0D39DF" w14:textId="77777777" w:rsidR="00CB01DD" w:rsidRPr="00F557BD" w:rsidRDefault="00EE70B8">
      <w:pPr>
        <w:spacing w:after="0"/>
        <w:ind w:left="697" w:right="524" w:firstLine="22"/>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 xml:space="preserve">One of the violences perpetrated by illiteracy is the suffocation of the consciousness and the expressiveness of men and women who are forbidden from reading and writing, </w:t>
      </w:r>
      <w:r w:rsidRPr="00F557BD">
        <w:rPr>
          <w:rFonts w:ascii="Times New Roman" w:eastAsia="Times New Roman" w:hAnsi="Times New Roman" w:cs="Times New Roman"/>
          <w:noProof/>
          <w:sz w:val="24"/>
          <w:szCs w:val="24"/>
        </w:rPr>
        <w:drawing>
          <wp:inline distT="0" distB="0" distL="0" distR="0" wp14:anchorId="2CF94E27" wp14:editId="7337EB15">
            <wp:extent cx="4561" cy="91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561" cy="9123"/>
                    </a:xfrm>
                    <a:prstGeom prst="rect">
                      <a:avLst/>
                    </a:prstGeom>
                    <a:ln/>
                  </pic:spPr>
                </pic:pic>
              </a:graphicData>
            </a:graphic>
          </wp:inline>
        </w:drawing>
      </w:r>
      <w:r w:rsidRPr="00F557BD">
        <w:rPr>
          <w:rFonts w:ascii="Times New Roman" w:eastAsia="Times New Roman" w:hAnsi="Times New Roman" w:cs="Times New Roman"/>
          <w:sz w:val="24"/>
          <w:szCs w:val="24"/>
        </w:rPr>
        <w:t xml:space="preserve"> thus limiting their capacity to write about their reading of the world so they can rethink about their original reading of it.</w:t>
      </w:r>
    </w:p>
    <w:p w14:paraId="6271EC10" w14:textId="77777777" w:rsidR="00CB01DD" w:rsidRPr="00F557BD" w:rsidRDefault="00EE70B8">
      <w:pPr>
        <w:ind w:left="720" w:right="280" w:hanging="72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--Freire, Paulo. Teachers as Cultural Workers: Letters to Those Who Dare Teach. Boulder, CO: Westview Press, 1998. [p. 2]</w:t>
      </w:r>
    </w:p>
    <w:p w14:paraId="477A09AA" w14:textId="77777777" w:rsidR="00CB01DD" w:rsidRPr="00F557BD" w:rsidRDefault="00EE70B8">
      <w:pPr>
        <w:spacing w:after="0" w:line="259" w:lineRule="auto"/>
        <w:ind w:left="167" w:right="0" w:hanging="1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u w:val="single"/>
        </w:rPr>
        <w:t>Summary</w:t>
      </w:r>
      <w:r w:rsidRPr="00F557BD">
        <w:rPr>
          <w:rFonts w:ascii="Times New Roman" w:eastAsia="Times New Roman" w:hAnsi="Times New Roman" w:cs="Times New Roman"/>
          <w:sz w:val="24"/>
          <w:szCs w:val="24"/>
        </w:rPr>
        <w:t>:</w:t>
      </w:r>
    </w:p>
    <w:p w14:paraId="2FD18F28" w14:textId="77777777" w:rsidR="00CB01DD" w:rsidRPr="00F557BD" w:rsidRDefault="00EE70B8" w:rsidP="00BF52B1">
      <w:pPr>
        <w:ind w:left="720" w:right="395" w:firstLine="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Being unable to read or write prevents someone from gaining a different understanding of his or her world.</w:t>
      </w:r>
    </w:p>
    <w:p w14:paraId="156DC78D" w14:textId="77777777" w:rsidR="00CB01DD" w:rsidRPr="00F557BD" w:rsidRDefault="00EE70B8">
      <w:pPr>
        <w:spacing w:after="0" w:line="259" w:lineRule="auto"/>
        <w:ind w:left="167" w:right="0" w:hanging="1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u w:val="single"/>
        </w:rPr>
        <w:t>Paraphrase</w:t>
      </w:r>
      <w:r w:rsidRPr="00F557BD">
        <w:rPr>
          <w:rFonts w:ascii="Times New Roman" w:eastAsia="Times New Roman" w:hAnsi="Times New Roman" w:cs="Times New Roman"/>
          <w:sz w:val="24"/>
          <w:szCs w:val="24"/>
        </w:rPr>
        <w:t>:</w:t>
      </w:r>
    </w:p>
    <w:p w14:paraId="2F8D33C8" w14:textId="77777777" w:rsidR="00CB01DD" w:rsidRPr="00F557BD" w:rsidRDefault="00EE70B8" w:rsidP="00BF52B1">
      <w:pPr>
        <w:ind w:left="720" w:right="725" w:firstLine="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 xml:space="preserve">A negative consequence of being prevented from reading and writing curtails people's abilities to understand their world and negates their chances of being able to gain a different understanding of that world as they synthesize information about their </w:t>
      </w:r>
      <w:r w:rsidRPr="00F557BD">
        <w:rPr>
          <w:rFonts w:ascii="Times New Roman" w:eastAsia="Times New Roman" w:hAnsi="Times New Roman" w:cs="Times New Roman"/>
          <w:noProof/>
          <w:sz w:val="24"/>
          <w:szCs w:val="24"/>
        </w:rPr>
        <w:drawing>
          <wp:inline distT="0" distB="0" distL="0" distR="0" wp14:anchorId="43427851" wp14:editId="680EA6A5">
            <wp:extent cx="9123" cy="912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123" cy="9123"/>
                    </a:xfrm>
                    <a:prstGeom prst="rect">
                      <a:avLst/>
                    </a:prstGeom>
                    <a:ln/>
                  </pic:spPr>
                </pic:pic>
              </a:graphicData>
            </a:graphic>
          </wp:inline>
        </w:drawing>
      </w:r>
      <w:r w:rsidRPr="00F557BD">
        <w:rPr>
          <w:rFonts w:ascii="Times New Roman" w:eastAsia="Times New Roman" w:hAnsi="Times New Roman" w:cs="Times New Roman"/>
          <w:sz w:val="24"/>
          <w:szCs w:val="24"/>
        </w:rPr>
        <w:t xml:space="preserve"> circumstances.</w:t>
      </w:r>
    </w:p>
    <w:p w14:paraId="5708450A" w14:textId="77777777" w:rsidR="00CB01DD" w:rsidRPr="00F557BD" w:rsidRDefault="00EE70B8">
      <w:pPr>
        <w:spacing w:after="0" w:line="259" w:lineRule="auto"/>
        <w:ind w:left="167" w:right="0" w:hanging="10"/>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u w:val="single"/>
        </w:rPr>
        <w:t>Quotation</w:t>
      </w:r>
      <w:r w:rsidRPr="00F557BD">
        <w:rPr>
          <w:rFonts w:ascii="Times New Roman" w:eastAsia="Times New Roman" w:hAnsi="Times New Roman" w:cs="Times New Roman"/>
          <w:sz w:val="24"/>
          <w:szCs w:val="24"/>
        </w:rPr>
        <w:t>:</w:t>
      </w:r>
    </w:p>
    <w:p w14:paraId="734D721D" w14:textId="77777777" w:rsidR="00CB01DD" w:rsidRPr="00F557BD" w:rsidRDefault="00EE70B8">
      <w:pPr>
        <w:spacing w:after="23"/>
        <w:ind w:left="891" w:right="0" w:firstLine="9"/>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Within text:</w:t>
      </w:r>
    </w:p>
    <w:p w14:paraId="0617BFDE" w14:textId="3B36AED0" w:rsidR="00BF52B1" w:rsidRPr="00F557BD" w:rsidRDefault="00EE70B8" w:rsidP="0025753C">
      <w:pPr>
        <w:spacing w:after="269" w:line="222" w:lineRule="auto"/>
        <w:ind w:left="1250" w:right="912" w:firstLine="22"/>
        <w:jc w:val="left"/>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In order to understand the negatives of illiteracy, Freire points to problems faced by the illiterate including that they experience a "suffocation of the consciousness and the expressiveness" that in turn "limit[s] their capacity to write about their reading of the world" in order to facilitate their "rethink[ing] about their original reading</w:t>
      </w:r>
      <w:r w:rsidR="00863986" w:rsidRPr="00F557BD">
        <w:rPr>
          <w:rFonts w:ascii="Times New Roman" w:eastAsia="Times New Roman" w:hAnsi="Times New Roman" w:cs="Times New Roman"/>
          <w:sz w:val="24"/>
          <w:szCs w:val="24"/>
        </w:rPr>
        <w:t>”</w:t>
      </w:r>
      <w:r w:rsidRPr="00F557BD">
        <w:rPr>
          <w:rFonts w:ascii="Times New Roman" w:eastAsia="Times New Roman" w:hAnsi="Times New Roman" w:cs="Times New Roman"/>
          <w:sz w:val="24"/>
          <w:szCs w:val="24"/>
        </w:rPr>
        <w:t xml:space="preserve"> of that world (p. 2). In other words, these people lack the tools that will allow them to come to a reasonable understanding of their world and to explore new ways of interacting with that world.</w:t>
      </w:r>
    </w:p>
    <w:p w14:paraId="428DABBA" w14:textId="27306176" w:rsidR="00CB01DD" w:rsidRPr="00F557BD" w:rsidRDefault="00EE70B8" w:rsidP="00BF52B1">
      <w:pPr>
        <w:spacing w:after="23"/>
        <w:ind w:right="0"/>
        <w:rPr>
          <w:rFonts w:ascii="Times New Roman" w:eastAsia="Times New Roman" w:hAnsi="Times New Roman" w:cs="Times New Roman"/>
          <w:sz w:val="24"/>
          <w:szCs w:val="24"/>
          <w:u w:val="single"/>
        </w:rPr>
      </w:pPr>
      <w:r w:rsidRPr="00F557BD">
        <w:rPr>
          <w:rFonts w:ascii="Times New Roman" w:eastAsia="Times New Roman" w:hAnsi="Times New Roman" w:cs="Times New Roman"/>
          <w:sz w:val="24"/>
          <w:szCs w:val="24"/>
          <w:u w:val="single"/>
        </w:rPr>
        <w:t>On bibliographic page:</w:t>
      </w:r>
    </w:p>
    <w:p w14:paraId="5001CCB8" w14:textId="77777777" w:rsidR="00CB01DD" w:rsidRPr="00F557BD" w:rsidRDefault="00CB01DD">
      <w:pPr>
        <w:spacing w:after="23"/>
        <w:ind w:left="891" w:right="0"/>
        <w:rPr>
          <w:rFonts w:ascii="Times New Roman" w:eastAsia="Times New Roman" w:hAnsi="Times New Roman" w:cs="Times New Roman"/>
          <w:sz w:val="24"/>
          <w:szCs w:val="24"/>
        </w:rPr>
      </w:pPr>
    </w:p>
    <w:p w14:paraId="701799FD" w14:textId="16C7EE37" w:rsidR="00CB01DD" w:rsidRPr="00F557BD" w:rsidRDefault="00EE70B8">
      <w:pPr>
        <w:spacing w:after="0"/>
        <w:ind w:left="720" w:right="445" w:hanging="720"/>
        <w:rPr>
          <w:rFonts w:ascii="Times New Roman" w:eastAsia="Times New Roman" w:hAnsi="Times New Roman" w:cs="Times New Roman"/>
          <w:sz w:val="24"/>
          <w:szCs w:val="24"/>
        </w:rPr>
      </w:pPr>
      <w:r w:rsidRPr="00F557BD">
        <w:rPr>
          <w:rFonts w:ascii="Times New Roman" w:eastAsia="Times New Roman" w:hAnsi="Times New Roman" w:cs="Times New Roman"/>
          <w:sz w:val="24"/>
          <w:szCs w:val="24"/>
        </w:rPr>
        <w:t>Freire, Paulo. Teachers as Cultural Workers: Letters to Those Who Dare Teach Boulder, CO: Westview Press, 1998.</w:t>
      </w:r>
    </w:p>
    <w:p w14:paraId="0F0A7878" w14:textId="1FBC47D2" w:rsidR="00BF52B1" w:rsidRPr="00F557BD" w:rsidRDefault="00BF52B1">
      <w:pPr>
        <w:spacing w:after="0"/>
        <w:ind w:left="720" w:right="445" w:hanging="720"/>
        <w:rPr>
          <w:rFonts w:ascii="Times New Roman" w:eastAsia="Times New Roman" w:hAnsi="Times New Roman" w:cs="Times New Roman"/>
          <w:sz w:val="24"/>
          <w:szCs w:val="24"/>
        </w:rPr>
      </w:pPr>
    </w:p>
    <w:p w14:paraId="151C0DEC" w14:textId="3BDD430B" w:rsidR="00BF52B1" w:rsidRDefault="00BF52B1">
      <w:pPr>
        <w:spacing w:after="0"/>
        <w:ind w:left="720" w:right="445" w:hanging="720"/>
        <w:rPr>
          <w:rFonts w:ascii="Times New Roman" w:eastAsia="Times New Roman" w:hAnsi="Times New Roman" w:cs="Times New Roman"/>
        </w:rPr>
      </w:pPr>
    </w:p>
    <w:p w14:paraId="3261E2E6" w14:textId="77777777" w:rsidR="0025753C" w:rsidRDefault="0025753C">
      <w:pPr>
        <w:spacing w:after="0"/>
        <w:ind w:left="720" w:right="445" w:hanging="720"/>
        <w:rPr>
          <w:rFonts w:ascii="Times New Roman" w:eastAsia="Times New Roman" w:hAnsi="Times New Roman" w:cs="Times New Roman"/>
        </w:rPr>
      </w:pPr>
    </w:p>
    <w:p w14:paraId="1A5F7CF1" w14:textId="77777777" w:rsidR="006F5ADF" w:rsidRPr="00BF52B1" w:rsidRDefault="006F5ADF" w:rsidP="00F557BD">
      <w:pPr>
        <w:spacing w:after="0"/>
        <w:ind w:right="445" w:firstLine="0"/>
        <w:rPr>
          <w:rFonts w:ascii="Times New Roman" w:eastAsia="Times New Roman" w:hAnsi="Times New Roman" w:cs="Times New Roman"/>
        </w:rPr>
      </w:pPr>
    </w:p>
    <w:p w14:paraId="547B755F" w14:textId="77777777" w:rsidR="00CB01DD" w:rsidRPr="00BF52B1" w:rsidRDefault="00CB01DD">
      <w:pPr>
        <w:spacing w:after="0"/>
        <w:ind w:left="1975" w:right="445" w:hanging="711"/>
        <w:rPr>
          <w:rFonts w:ascii="Times New Roman" w:eastAsia="Times New Roman" w:hAnsi="Times New Roman" w:cs="Times New Roman"/>
        </w:rPr>
      </w:pPr>
    </w:p>
    <w:p w14:paraId="4BE83B1B" w14:textId="77777777" w:rsidR="00BF52B1" w:rsidRDefault="00EE70B8">
      <w:pPr>
        <w:spacing w:after="23"/>
        <w:ind w:left="720" w:right="0" w:hanging="720"/>
        <w:jc w:val="left"/>
        <w:rPr>
          <w:rFonts w:ascii="Times New Roman" w:eastAsia="Times New Roman" w:hAnsi="Times New Roman" w:cs="Times New Roman"/>
        </w:rPr>
      </w:pPr>
      <w:r w:rsidRPr="00BF52B1">
        <w:rPr>
          <w:rFonts w:ascii="Times New Roman" w:eastAsia="Times New Roman" w:hAnsi="Times New Roman" w:cs="Times New Roman"/>
        </w:rPr>
        <w:t xml:space="preserve">Hacker, Diana, and Nancy Sommers. The Bedford Handbook. 8th Edition. Boston: Bedford/St. Martins, 2010. </w:t>
      </w:r>
    </w:p>
    <w:p w14:paraId="1F529E19" w14:textId="238F4F77" w:rsidR="00CB01DD" w:rsidRPr="00BF52B1" w:rsidRDefault="00EE70B8">
      <w:pPr>
        <w:spacing w:after="23"/>
        <w:ind w:left="720" w:right="0" w:hanging="720"/>
        <w:jc w:val="left"/>
        <w:rPr>
          <w:rFonts w:ascii="Times New Roman" w:eastAsia="Times New Roman" w:hAnsi="Times New Roman" w:cs="Times New Roman"/>
        </w:rPr>
      </w:pPr>
      <w:r w:rsidRPr="00BF52B1">
        <w:rPr>
          <w:rFonts w:ascii="Times New Roman" w:eastAsia="Times New Roman" w:hAnsi="Times New Roman" w:cs="Times New Roman"/>
        </w:rPr>
        <w:t>Washington State Legislature. WAC 504-26-010. http://app.leg.wa.gov/wac/default.aspx?cite=505-26010. Accessed 8/30/16.</w:t>
      </w:r>
    </w:p>
    <w:sectPr w:rsidR="00CB01DD" w:rsidRPr="00BF52B1">
      <w:pgSz w:w="12240" w:h="15840"/>
      <w:pgMar w:top="776" w:right="1695" w:bottom="745" w:left="128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C7732"/>
    <w:multiLevelType w:val="hybridMultilevel"/>
    <w:tmpl w:val="DB1C7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95082"/>
    <w:multiLevelType w:val="multilevel"/>
    <w:tmpl w:val="9CCCB9D4"/>
    <w:lvl w:ilvl="0">
      <w:start w:val="1"/>
      <w:numFmt w:val="bullet"/>
      <w:lvlText w:val="o"/>
      <w:lvlJc w:val="left"/>
      <w:pPr>
        <w:ind w:left="481" w:hanging="481"/>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665" w:hanging="1485"/>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385" w:hanging="2205"/>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105" w:hanging="2925"/>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825" w:hanging="3645"/>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545" w:hanging="4365"/>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265" w:hanging="5085"/>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985" w:hanging="5805"/>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705" w:hanging="6525"/>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79CE31DB"/>
    <w:multiLevelType w:val="hybridMultilevel"/>
    <w:tmpl w:val="B9A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92CCC"/>
    <w:multiLevelType w:val="hybridMultilevel"/>
    <w:tmpl w:val="617EB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DD"/>
    <w:rsid w:val="00016C38"/>
    <w:rsid w:val="000B5EF2"/>
    <w:rsid w:val="0025753C"/>
    <w:rsid w:val="002B7669"/>
    <w:rsid w:val="003272D8"/>
    <w:rsid w:val="006F5ADF"/>
    <w:rsid w:val="00704008"/>
    <w:rsid w:val="00863986"/>
    <w:rsid w:val="00892273"/>
    <w:rsid w:val="00BA0E45"/>
    <w:rsid w:val="00BF52B1"/>
    <w:rsid w:val="00BF72D6"/>
    <w:rsid w:val="00CB01DD"/>
    <w:rsid w:val="00D230F7"/>
    <w:rsid w:val="00D72A97"/>
    <w:rsid w:val="00EE70B8"/>
    <w:rsid w:val="00F5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E9E5"/>
  <w15:docId w15:val="{9578CBFA-6769-4B5D-BC27-8A3D0D4D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525" w:line="234" w:lineRule="auto"/>
        <w:ind w:right="180" w:firstLine="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3986"/>
    <w:pPr>
      <w:ind w:left="720"/>
      <w:contextualSpacing/>
    </w:pPr>
  </w:style>
  <w:style w:type="character" w:styleId="Hyperlink">
    <w:name w:val="Hyperlink"/>
    <w:basedOn w:val="DefaultParagraphFont"/>
    <w:uiPriority w:val="99"/>
    <w:unhideWhenUsed/>
    <w:rsid w:val="003272D8"/>
    <w:rPr>
      <w:color w:val="0000FF" w:themeColor="hyperlink"/>
      <w:u w:val="single"/>
    </w:rPr>
  </w:style>
  <w:style w:type="character" w:styleId="UnresolvedMention">
    <w:name w:val="Unresolved Mention"/>
    <w:basedOn w:val="DefaultParagraphFont"/>
    <w:uiPriority w:val="99"/>
    <w:semiHidden/>
    <w:unhideWhenUsed/>
    <w:rsid w:val="0032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Mattox</dc:creator>
  <cp:lastModifiedBy>Carmen </cp:lastModifiedBy>
  <cp:revision>5</cp:revision>
  <dcterms:created xsi:type="dcterms:W3CDTF">2020-04-08T21:11:00Z</dcterms:created>
  <dcterms:modified xsi:type="dcterms:W3CDTF">2020-04-08T21:14:00Z</dcterms:modified>
</cp:coreProperties>
</file>